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D7" w:rsidRDefault="00555DD7" w:rsidP="007725EF">
      <w:pPr>
        <w:jc w:val="center"/>
        <w:rPr>
          <w:b/>
          <w:sz w:val="36"/>
        </w:rPr>
      </w:pPr>
      <w:r>
        <w:rPr>
          <w:b/>
          <w:sz w:val="36"/>
        </w:rPr>
        <w:t>Информация об исполнении консолидированных бюджетов</w:t>
      </w:r>
      <w:r w:rsidR="003D340D">
        <w:rPr>
          <w:b/>
          <w:sz w:val="36"/>
        </w:rPr>
        <w:t xml:space="preserve"> субъектов Российской Федерации</w:t>
      </w:r>
      <w:r w:rsidR="003D340D">
        <w:rPr>
          <w:b/>
          <w:sz w:val="36"/>
        </w:rPr>
        <w:br/>
      </w:r>
      <w:r>
        <w:rPr>
          <w:b/>
          <w:sz w:val="36"/>
        </w:rPr>
        <w:t>на 1 февраля 2019 года.</w:t>
      </w:r>
    </w:p>
    <w:p w:rsidR="003D340D" w:rsidRPr="007725EF" w:rsidRDefault="003D340D" w:rsidP="007725EF">
      <w:pPr>
        <w:jc w:val="center"/>
        <w:rPr>
          <w:szCs w:val="21"/>
        </w:rPr>
      </w:pP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Доходы</w:t>
      </w:r>
      <w:r w:rsidRPr="003D340D">
        <w:rPr>
          <w:sz w:val="36"/>
          <w:szCs w:val="36"/>
        </w:rPr>
        <w:t xml:space="preserve"> составили 640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 с </w:t>
      </w:r>
      <w:r w:rsidRPr="003D340D">
        <w:rPr>
          <w:b/>
          <w:sz w:val="36"/>
          <w:szCs w:val="36"/>
        </w:rPr>
        <w:t>ростом на 15%</w:t>
      </w:r>
      <w:r w:rsidR="003D340D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(+82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sz w:val="36"/>
          <w:szCs w:val="36"/>
        </w:rPr>
        <w:t xml:space="preserve">Поступление </w:t>
      </w:r>
      <w:r w:rsidRPr="003D340D">
        <w:rPr>
          <w:i/>
          <w:sz w:val="36"/>
          <w:szCs w:val="36"/>
        </w:rPr>
        <w:t>налоговых и неналоговых доходов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возросло на 16%</w:t>
      </w:r>
      <w:r w:rsidRPr="003D340D">
        <w:rPr>
          <w:sz w:val="36"/>
          <w:szCs w:val="36"/>
        </w:rPr>
        <w:t xml:space="preserve"> (+74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), составив 536 млрд. </w:t>
      </w:r>
      <w:r w:rsidR="003D340D">
        <w:rPr>
          <w:sz w:val="36"/>
          <w:szCs w:val="36"/>
        </w:rPr>
        <w:t>рублей.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sz w:val="36"/>
          <w:szCs w:val="36"/>
        </w:rPr>
        <w:t xml:space="preserve">Поступление </w:t>
      </w:r>
      <w:r w:rsidRPr="003D340D">
        <w:rPr>
          <w:i/>
          <w:sz w:val="36"/>
          <w:szCs w:val="36"/>
        </w:rPr>
        <w:t>налога на прибыль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увеличилось на 28%</w:t>
      </w:r>
      <w:r w:rsidR="003D340D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(+31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) по сравнению с 2018 годом, объем которого составил 143 млрд. </w:t>
      </w:r>
      <w:r w:rsidR="003D340D">
        <w:rPr>
          <w:sz w:val="36"/>
          <w:szCs w:val="36"/>
        </w:rPr>
        <w:t>рублей.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sz w:val="36"/>
          <w:szCs w:val="36"/>
        </w:rPr>
        <w:t xml:space="preserve">Поступление </w:t>
      </w:r>
      <w:r w:rsidRPr="003D340D">
        <w:rPr>
          <w:i/>
          <w:sz w:val="36"/>
          <w:szCs w:val="36"/>
        </w:rPr>
        <w:t>НДФЛ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возросло на 9%</w:t>
      </w:r>
      <w:r w:rsidRPr="003D340D">
        <w:rPr>
          <w:sz w:val="36"/>
          <w:szCs w:val="36"/>
        </w:rPr>
        <w:t xml:space="preserve"> (+16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) относительно уровня 2018 года, составив 201 млрд. </w:t>
      </w:r>
      <w:r w:rsidR="003D340D">
        <w:rPr>
          <w:sz w:val="36"/>
          <w:szCs w:val="36"/>
        </w:rPr>
        <w:t>рублей.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sz w:val="36"/>
          <w:szCs w:val="36"/>
        </w:rPr>
        <w:t xml:space="preserve">Поступление </w:t>
      </w:r>
      <w:r w:rsidRPr="003D340D">
        <w:rPr>
          <w:i/>
          <w:sz w:val="36"/>
          <w:szCs w:val="36"/>
        </w:rPr>
        <w:t>акцизов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увеличилось на 39%</w:t>
      </w:r>
      <w:r w:rsidRPr="003D340D">
        <w:rPr>
          <w:sz w:val="36"/>
          <w:szCs w:val="36"/>
        </w:rPr>
        <w:t xml:space="preserve"> (+19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 по сравнению с 2</w:t>
      </w:r>
      <w:r w:rsidR="003D340D">
        <w:rPr>
          <w:sz w:val="36"/>
          <w:szCs w:val="36"/>
        </w:rPr>
        <w:t>018 годом, объем которых достиг</w:t>
      </w:r>
      <w:r w:rsidR="003D340D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68 млрд. </w:t>
      </w:r>
      <w:r w:rsidR="003D340D">
        <w:rPr>
          <w:sz w:val="36"/>
          <w:szCs w:val="36"/>
        </w:rPr>
        <w:t>рублей.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sz w:val="36"/>
          <w:szCs w:val="36"/>
        </w:rPr>
        <w:t xml:space="preserve">Поступление </w:t>
      </w:r>
      <w:r w:rsidRPr="003D340D">
        <w:rPr>
          <w:i/>
          <w:sz w:val="36"/>
          <w:szCs w:val="36"/>
        </w:rPr>
        <w:t>налога на имущество организаций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сократилось на 12%</w:t>
      </w:r>
      <w:r w:rsidRPr="003D340D">
        <w:rPr>
          <w:sz w:val="36"/>
          <w:szCs w:val="36"/>
        </w:rPr>
        <w:t xml:space="preserve"> (-1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</w:t>
      </w:r>
      <w:r w:rsidR="003D340D">
        <w:rPr>
          <w:sz w:val="36"/>
          <w:szCs w:val="36"/>
        </w:rPr>
        <w:t xml:space="preserve"> относительно уровня 2018 года,</w:t>
      </w:r>
      <w:r w:rsidR="003D340D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составив 8 млрд. </w:t>
      </w:r>
      <w:r w:rsidR="003D340D">
        <w:rPr>
          <w:sz w:val="36"/>
          <w:szCs w:val="36"/>
        </w:rPr>
        <w:t>рублей.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sz w:val="36"/>
          <w:szCs w:val="36"/>
        </w:rPr>
        <w:t xml:space="preserve">Доходы от </w:t>
      </w:r>
      <w:r w:rsidRPr="003D340D">
        <w:rPr>
          <w:i/>
          <w:sz w:val="36"/>
          <w:szCs w:val="36"/>
        </w:rPr>
        <w:t>других налогов</w:t>
      </w:r>
      <w:r w:rsidRPr="003D340D">
        <w:rPr>
          <w:sz w:val="36"/>
          <w:szCs w:val="36"/>
        </w:rPr>
        <w:t xml:space="preserve"> поступили в сумме 70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 и </w:t>
      </w:r>
      <w:r w:rsidRPr="003D340D">
        <w:rPr>
          <w:b/>
          <w:sz w:val="36"/>
          <w:szCs w:val="36"/>
        </w:rPr>
        <w:t>выросли на 9%</w:t>
      </w:r>
      <w:r w:rsidRPr="003D340D">
        <w:rPr>
          <w:sz w:val="36"/>
          <w:szCs w:val="36"/>
        </w:rPr>
        <w:t xml:space="preserve"> (+6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Неналоговые доходы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возросли на 8%</w:t>
      </w:r>
      <w:r w:rsidRPr="003D340D">
        <w:rPr>
          <w:sz w:val="36"/>
          <w:szCs w:val="36"/>
        </w:rPr>
        <w:t xml:space="preserve"> (+3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), составив 46 млрд. </w:t>
      </w:r>
      <w:r w:rsidR="003D340D">
        <w:rPr>
          <w:sz w:val="36"/>
          <w:szCs w:val="36"/>
        </w:rPr>
        <w:t>рублей.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proofErr w:type="gramStart"/>
      <w:r w:rsidRPr="003D340D">
        <w:rPr>
          <w:i/>
          <w:sz w:val="36"/>
          <w:szCs w:val="36"/>
        </w:rPr>
        <w:t>Безвозмездные поступления из федерального бюджета</w:t>
      </w:r>
      <w:r w:rsidRPr="003D340D">
        <w:rPr>
          <w:sz w:val="36"/>
          <w:szCs w:val="36"/>
        </w:rPr>
        <w:t xml:space="preserve"> поступили в объеме </w:t>
      </w:r>
      <w:r w:rsidRPr="003D340D">
        <w:rPr>
          <w:b/>
          <w:sz w:val="36"/>
          <w:szCs w:val="36"/>
        </w:rPr>
        <w:t xml:space="preserve">92 млрд. </w:t>
      </w:r>
      <w:r w:rsidR="003D340D">
        <w:rPr>
          <w:b/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, с </w:t>
      </w:r>
      <w:r w:rsidRPr="003D340D">
        <w:rPr>
          <w:b/>
          <w:sz w:val="36"/>
          <w:szCs w:val="36"/>
        </w:rPr>
        <w:t>ростом на 6%</w:t>
      </w:r>
      <w:r w:rsidR="003D340D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(+6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), что составляет 14% доходов.</w:t>
      </w:r>
      <w:proofErr w:type="gramEnd"/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Расходы</w:t>
      </w:r>
      <w:r w:rsidRPr="003D340D">
        <w:rPr>
          <w:sz w:val="36"/>
          <w:szCs w:val="36"/>
        </w:rPr>
        <w:t xml:space="preserve"> профинансированы в объеме </w:t>
      </w:r>
      <w:r w:rsidRPr="003D340D">
        <w:rPr>
          <w:b/>
          <w:sz w:val="36"/>
          <w:szCs w:val="36"/>
        </w:rPr>
        <w:t xml:space="preserve">582 млрд. </w:t>
      </w:r>
      <w:r w:rsidR="003D340D">
        <w:rPr>
          <w:b/>
          <w:sz w:val="36"/>
          <w:szCs w:val="36"/>
        </w:rPr>
        <w:t>рублей</w:t>
      </w:r>
      <w:r w:rsidR="003D340D">
        <w:rPr>
          <w:sz w:val="36"/>
          <w:szCs w:val="36"/>
        </w:rPr>
        <w:t>,</w:t>
      </w:r>
      <w:r w:rsidR="003D340D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с </w:t>
      </w:r>
      <w:r w:rsidRPr="003D340D">
        <w:rPr>
          <w:b/>
          <w:sz w:val="36"/>
          <w:szCs w:val="36"/>
        </w:rPr>
        <w:t>ростом на 12%</w:t>
      </w:r>
      <w:r w:rsidRPr="003D340D">
        <w:rPr>
          <w:sz w:val="36"/>
          <w:szCs w:val="36"/>
        </w:rPr>
        <w:t xml:space="preserve"> (+62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lastRenderedPageBreak/>
        <w:t>Расходы на выплату заработной платы</w:t>
      </w:r>
      <w:r w:rsidRPr="003D340D">
        <w:rPr>
          <w:sz w:val="36"/>
          <w:szCs w:val="36"/>
        </w:rPr>
        <w:t xml:space="preserve"> составили</w:t>
      </w:r>
      <w:r>
        <w:rPr>
          <w:sz w:val="36"/>
          <w:szCs w:val="36"/>
        </w:rPr>
        <w:br/>
      </w:r>
      <w:r w:rsidRPr="003D340D">
        <w:rPr>
          <w:b/>
          <w:sz w:val="36"/>
          <w:szCs w:val="36"/>
        </w:rPr>
        <w:t xml:space="preserve">152 млрд. </w:t>
      </w:r>
      <w:r w:rsidR="003D340D">
        <w:rPr>
          <w:b/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, и </w:t>
      </w:r>
      <w:r w:rsidRPr="003D340D">
        <w:rPr>
          <w:b/>
          <w:sz w:val="36"/>
          <w:szCs w:val="36"/>
        </w:rPr>
        <w:t>возросли на 10%</w:t>
      </w:r>
      <w:r w:rsidRPr="003D340D">
        <w:rPr>
          <w:sz w:val="36"/>
          <w:szCs w:val="36"/>
        </w:rPr>
        <w:t xml:space="preserve"> (+14 млрд. </w:t>
      </w:r>
      <w:r w:rsidR="003D340D">
        <w:rPr>
          <w:sz w:val="36"/>
          <w:szCs w:val="36"/>
        </w:rPr>
        <w:t>рублей</w:t>
      </w:r>
      <w:r>
        <w:rPr>
          <w:sz w:val="36"/>
          <w:szCs w:val="36"/>
        </w:rPr>
        <w:t>).</w:t>
      </w:r>
      <w:r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Их доля в общем объеме расходов составила </w:t>
      </w:r>
      <w:r w:rsidRPr="003D340D">
        <w:rPr>
          <w:b/>
          <w:sz w:val="36"/>
          <w:szCs w:val="36"/>
        </w:rPr>
        <w:t>26%</w:t>
      </w:r>
      <w:r w:rsidRPr="003D340D">
        <w:rPr>
          <w:sz w:val="36"/>
          <w:szCs w:val="36"/>
        </w:rPr>
        <w:t xml:space="preserve"> (аналогично прошлому году).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Расходы инвестиционного характера</w:t>
      </w:r>
      <w:r w:rsidRPr="003D340D">
        <w:rPr>
          <w:sz w:val="36"/>
          <w:szCs w:val="36"/>
        </w:rPr>
        <w:t xml:space="preserve"> </w:t>
      </w:r>
      <w:r w:rsidRPr="003D340D">
        <w:rPr>
          <w:b/>
          <w:sz w:val="36"/>
          <w:szCs w:val="36"/>
        </w:rPr>
        <w:t>сократились на 16%</w:t>
      </w:r>
      <w:r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(-2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) и составляют </w:t>
      </w:r>
      <w:r w:rsidRPr="003D340D">
        <w:rPr>
          <w:b/>
          <w:sz w:val="36"/>
          <w:szCs w:val="36"/>
        </w:rPr>
        <w:t xml:space="preserve">10 млрд. </w:t>
      </w:r>
      <w:r w:rsidR="003D340D">
        <w:rPr>
          <w:b/>
          <w:sz w:val="36"/>
          <w:szCs w:val="36"/>
        </w:rPr>
        <w:t>рублей</w:t>
      </w:r>
      <w:r w:rsidRPr="003D340D">
        <w:rPr>
          <w:sz w:val="36"/>
          <w:szCs w:val="36"/>
        </w:rPr>
        <w:t xml:space="preserve">, с удельным весом </w:t>
      </w:r>
      <w:r w:rsidRPr="003D340D">
        <w:rPr>
          <w:b/>
          <w:sz w:val="36"/>
          <w:szCs w:val="36"/>
        </w:rPr>
        <w:t>2%</w:t>
      </w:r>
      <w:r w:rsidRPr="003D340D">
        <w:rPr>
          <w:sz w:val="36"/>
          <w:szCs w:val="36"/>
        </w:rPr>
        <w:t xml:space="preserve"> (аналогично 2018 году).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Профицит</w:t>
      </w:r>
      <w:r w:rsidRPr="003D340D">
        <w:rPr>
          <w:sz w:val="36"/>
          <w:szCs w:val="36"/>
        </w:rPr>
        <w:t xml:space="preserve"> </w:t>
      </w:r>
      <w:r w:rsidR="00526015">
        <w:rPr>
          <w:sz w:val="36"/>
          <w:szCs w:val="36"/>
        </w:rPr>
        <w:t>консолидированных</w:t>
      </w:r>
      <w:bookmarkStart w:id="0" w:name="_GoBack"/>
      <w:bookmarkEnd w:id="0"/>
      <w:r w:rsidRPr="003D340D">
        <w:rPr>
          <w:sz w:val="36"/>
          <w:szCs w:val="36"/>
        </w:rPr>
        <w:t xml:space="preserve"> бюджетов </w:t>
      </w:r>
      <w:r w:rsidRPr="003D340D">
        <w:rPr>
          <w:b/>
          <w:sz w:val="36"/>
          <w:szCs w:val="36"/>
        </w:rPr>
        <w:t>58 млрд. рублей</w:t>
      </w:r>
      <w:r w:rsidRPr="003D340D">
        <w:rPr>
          <w:sz w:val="36"/>
          <w:szCs w:val="36"/>
        </w:rPr>
        <w:t xml:space="preserve"> (в 2018 году </w:t>
      </w:r>
      <w:r w:rsidRPr="003D340D">
        <w:rPr>
          <w:i/>
          <w:sz w:val="36"/>
          <w:szCs w:val="36"/>
        </w:rPr>
        <w:t>профицит</w:t>
      </w:r>
      <w:r w:rsidRPr="003D340D">
        <w:rPr>
          <w:sz w:val="36"/>
          <w:szCs w:val="36"/>
        </w:rPr>
        <w:t xml:space="preserve"> - </w:t>
      </w:r>
      <w:r w:rsidRPr="003D340D">
        <w:rPr>
          <w:b/>
          <w:sz w:val="36"/>
          <w:szCs w:val="36"/>
        </w:rPr>
        <w:t>38 млрд. рублей</w:t>
      </w:r>
      <w:r w:rsidRPr="003D340D">
        <w:rPr>
          <w:sz w:val="36"/>
          <w:szCs w:val="36"/>
        </w:rPr>
        <w:t xml:space="preserve">). С дефицитом исполнены бюджеты </w:t>
      </w:r>
      <w:r w:rsidRPr="003D340D">
        <w:rPr>
          <w:b/>
          <w:sz w:val="36"/>
          <w:szCs w:val="36"/>
        </w:rPr>
        <w:t>29 регионов</w:t>
      </w:r>
      <w:r w:rsidRPr="003D340D">
        <w:rPr>
          <w:sz w:val="36"/>
          <w:szCs w:val="36"/>
        </w:rPr>
        <w:t xml:space="preserve"> (против 40 в 2018 году), с суммарным дефицитом </w:t>
      </w:r>
      <w:r w:rsidRPr="003D340D">
        <w:rPr>
          <w:b/>
          <w:sz w:val="36"/>
          <w:szCs w:val="36"/>
        </w:rPr>
        <w:t>22 млрд. рублей</w:t>
      </w:r>
      <w:r w:rsidRPr="003D340D">
        <w:rPr>
          <w:sz w:val="36"/>
          <w:szCs w:val="36"/>
        </w:rPr>
        <w:t xml:space="preserve">. С профицитом исполнены бюджеты </w:t>
      </w:r>
      <w:r w:rsidRPr="003D340D">
        <w:rPr>
          <w:b/>
          <w:sz w:val="36"/>
          <w:szCs w:val="36"/>
        </w:rPr>
        <w:t>56 регионов</w:t>
      </w:r>
      <w:r w:rsidRPr="003D340D">
        <w:rPr>
          <w:sz w:val="36"/>
          <w:szCs w:val="36"/>
        </w:rPr>
        <w:t xml:space="preserve"> (против 45 в 2018 году), с </w:t>
      </w:r>
      <w:proofErr w:type="gramStart"/>
      <w:r w:rsidRPr="003D340D">
        <w:rPr>
          <w:sz w:val="36"/>
          <w:szCs w:val="36"/>
        </w:rPr>
        <w:t>суммарным</w:t>
      </w:r>
      <w:proofErr w:type="gramEnd"/>
      <w:r w:rsidRPr="003D340D">
        <w:rPr>
          <w:sz w:val="36"/>
          <w:szCs w:val="36"/>
        </w:rPr>
        <w:t xml:space="preserve"> профицитом </w:t>
      </w:r>
      <w:r w:rsidRPr="003D340D">
        <w:rPr>
          <w:b/>
          <w:sz w:val="36"/>
          <w:szCs w:val="36"/>
        </w:rPr>
        <w:t>80 млрд. рублей</w:t>
      </w:r>
      <w:r w:rsidRPr="003D340D">
        <w:rPr>
          <w:sz w:val="36"/>
          <w:szCs w:val="36"/>
        </w:rPr>
        <w:t>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Привлечение кредитов кредитных организаций</w:t>
      </w:r>
      <w:r w:rsidRPr="003D340D">
        <w:rPr>
          <w:sz w:val="36"/>
          <w:szCs w:val="36"/>
        </w:rPr>
        <w:t xml:space="preserve"> составило</w:t>
      </w:r>
      <w:r>
        <w:rPr>
          <w:sz w:val="36"/>
          <w:szCs w:val="36"/>
        </w:rPr>
        <w:br/>
      </w:r>
      <w:r w:rsidRPr="003D340D">
        <w:rPr>
          <w:b/>
          <w:sz w:val="36"/>
          <w:szCs w:val="36"/>
        </w:rPr>
        <w:t>20 млрд. рублей</w:t>
      </w:r>
      <w:r w:rsidRPr="003D340D">
        <w:rPr>
          <w:sz w:val="36"/>
          <w:szCs w:val="36"/>
        </w:rPr>
        <w:t xml:space="preserve">,  </w:t>
      </w:r>
      <w:r w:rsidRPr="003D340D">
        <w:rPr>
          <w:i/>
          <w:sz w:val="36"/>
          <w:szCs w:val="36"/>
        </w:rPr>
        <w:t>погашение</w:t>
      </w:r>
      <w:r w:rsidRPr="003D340D">
        <w:rPr>
          <w:sz w:val="36"/>
          <w:szCs w:val="36"/>
        </w:rPr>
        <w:t xml:space="preserve"> - </w:t>
      </w:r>
      <w:r w:rsidRPr="003D340D">
        <w:rPr>
          <w:b/>
          <w:sz w:val="36"/>
          <w:szCs w:val="36"/>
        </w:rPr>
        <w:t>159 млрд. рублей</w:t>
      </w:r>
      <w:r w:rsidRPr="003D340D">
        <w:rPr>
          <w:sz w:val="36"/>
          <w:szCs w:val="36"/>
        </w:rPr>
        <w:t xml:space="preserve"> (в 2018 году - 40 и 154 млрд. рублей соответственно).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Остатки средств бюджетов</w:t>
      </w:r>
      <w:r w:rsidRPr="003D340D">
        <w:rPr>
          <w:sz w:val="36"/>
          <w:szCs w:val="36"/>
        </w:rPr>
        <w:t xml:space="preserve"> на 1 февраля 2019 года составили </w:t>
      </w:r>
      <w:r w:rsidRPr="003D340D">
        <w:rPr>
          <w:b/>
          <w:sz w:val="36"/>
          <w:szCs w:val="36"/>
        </w:rPr>
        <w:t>2 097 млрд. рублей</w:t>
      </w:r>
      <w:r w:rsidRPr="003D340D">
        <w:rPr>
          <w:sz w:val="36"/>
          <w:szCs w:val="36"/>
        </w:rPr>
        <w:t xml:space="preserve"> и возросли с начала года </w:t>
      </w:r>
      <w:r w:rsidRPr="003D340D">
        <w:rPr>
          <w:b/>
          <w:sz w:val="36"/>
          <w:szCs w:val="36"/>
        </w:rPr>
        <w:t>на 6%</w:t>
      </w:r>
      <w:r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(+116 млрд. </w:t>
      </w:r>
      <w:r w:rsid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).</w:t>
      </w:r>
    </w:p>
    <w:p w:rsidR="002F5C55" w:rsidRPr="003D340D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proofErr w:type="gramStart"/>
      <w:r w:rsidRPr="003D340D">
        <w:rPr>
          <w:i/>
          <w:sz w:val="36"/>
          <w:szCs w:val="36"/>
        </w:rPr>
        <w:t>Просроченная кредиторская задолженность</w:t>
      </w:r>
      <w:r w:rsidR="009426A7">
        <w:rPr>
          <w:sz w:val="36"/>
          <w:szCs w:val="36"/>
        </w:rPr>
        <w:t xml:space="preserve"> на 1 февраля</w:t>
      </w:r>
      <w:r w:rsidR="009426A7"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2019 года составляет </w:t>
      </w:r>
      <w:r w:rsidRPr="003D340D">
        <w:rPr>
          <w:b/>
          <w:sz w:val="36"/>
          <w:szCs w:val="36"/>
        </w:rPr>
        <w:t>25 млрд. рублей</w:t>
      </w:r>
      <w:r w:rsidRPr="003D340D">
        <w:rPr>
          <w:sz w:val="36"/>
          <w:szCs w:val="36"/>
        </w:rPr>
        <w:t xml:space="preserve">, с </w:t>
      </w:r>
      <w:r w:rsidRPr="003D340D">
        <w:rPr>
          <w:b/>
          <w:sz w:val="36"/>
          <w:szCs w:val="36"/>
        </w:rPr>
        <w:t>ростом на 13%</w:t>
      </w:r>
      <w:r w:rsidRPr="003D340D">
        <w:rPr>
          <w:sz w:val="36"/>
          <w:szCs w:val="36"/>
        </w:rPr>
        <w:t xml:space="preserve"> с начала года (58 субъектов Российской Федерации имеют</w:t>
      </w:r>
      <w:proofErr w:type="gramEnd"/>
      <w:r w:rsidRPr="003D340D">
        <w:rPr>
          <w:sz w:val="36"/>
          <w:szCs w:val="36"/>
        </w:rPr>
        <w:t xml:space="preserve"> просроченную креди</w:t>
      </w:r>
      <w:r>
        <w:rPr>
          <w:sz w:val="36"/>
          <w:szCs w:val="36"/>
        </w:rPr>
        <w:t>торскую задолженность, при этом</w:t>
      </w:r>
      <w:r>
        <w:rPr>
          <w:sz w:val="36"/>
          <w:szCs w:val="36"/>
        </w:rPr>
        <w:br/>
      </w:r>
      <w:r w:rsidRPr="003D340D">
        <w:rPr>
          <w:sz w:val="36"/>
          <w:szCs w:val="36"/>
        </w:rPr>
        <w:t xml:space="preserve">в 15 регионах она снизилась на общую сумму </w:t>
      </w:r>
      <w:r w:rsidRPr="003D340D">
        <w:rPr>
          <w:b/>
          <w:sz w:val="36"/>
          <w:szCs w:val="36"/>
        </w:rPr>
        <w:t>0</w:t>
      </w:r>
      <w:r>
        <w:rPr>
          <w:b/>
          <w:sz w:val="36"/>
          <w:szCs w:val="36"/>
        </w:rPr>
        <w:t>,4</w:t>
      </w:r>
      <w:r w:rsidRPr="003D340D">
        <w:rPr>
          <w:b/>
          <w:sz w:val="36"/>
          <w:szCs w:val="36"/>
        </w:rPr>
        <w:t xml:space="preserve"> млрд. рублей</w:t>
      </w:r>
      <w:r w:rsidRPr="003D340D">
        <w:rPr>
          <w:sz w:val="36"/>
          <w:szCs w:val="36"/>
        </w:rPr>
        <w:t xml:space="preserve">, в 39 возросла на общую сумму </w:t>
      </w:r>
      <w:r w:rsidRPr="003D340D">
        <w:rPr>
          <w:b/>
          <w:sz w:val="36"/>
          <w:szCs w:val="36"/>
        </w:rPr>
        <w:t>3 млрд. рублей</w:t>
      </w:r>
      <w:r w:rsidRPr="003D340D">
        <w:rPr>
          <w:sz w:val="36"/>
          <w:szCs w:val="36"/>
        </w:rPr>
        <w:t>, а в 4 регионах осталась неизменной).</w:t>
      </w:r>
    </w:p>
    <w:p w:rsidR="002F5C55" w:rsidRDefault="004E3B4F" w:rsidP="003D340D">
      <w:pPr>
        <w:numPr>
          <w:ilvl w:val="0"/>
          <w:numId w:val="5"/>
        </w:numPr>
        <w:spacing w:after="240"/>
        <w:ind w:left="419" w:hanging="357"/>
        <w:jc w:val="both"/>
        <w:rPr>
          <w:sz w:val="36"/>
          <w:szCs w:val="36"/>
        </w:rPr>
      </w:pPr>
      <w:r w:rsidRPr="003D340D">
        <w:rPr>
          <w:i/>
          <w:sz w:val="36"/>
          <w:szCs w:val="36"/>
        </w:rPr>
        <w:t>Государственный долг субъектов Российской Федерации</w:t>
      </w:r>
      <w:r w:rsidRPr="003D340D">
        <w:rPr>
          <w:sz w:val="36"/>
          <w:szCs w:val="36"/>
        </w:rPr>
        <w:t xml:space="preserve"> составляет </w:t>
      </w:r>
      <w:r w:rsidRPr="003D340D">
        <w:rPr>
          <w:b/>
          <w:sz w:val="36"/>
          <w:szCs w:val="36"/>
        </w:rPr>
        <w:t>2 115 млрд. рублей</w:t>
      </w:r>
      <w:r w:rsidRPr="003D340D">
        <w:rPr>
          <w:sz w:val="36"/>
          <w:szCs w:val="36"/>
        </w:rPr>
        <w:t xml:space="preserve"> и снизился с начала года </w:t>
      </w:r>
      <w:r w:rsidRPr="003D340D">
        <w:rPr>
          <w:b/>
          <w:sz w:val="36"/>
          <w:szCs w:val="36"/>
        </w:rPr>
        <w:t>на 4,1%</w:t>
      </w:r>
      <w:r w:rsidRPr="003D340D">
        <w:rPr>
          <w:sz w:val="36"/>
          <w:szCs w:val="36"/>
        </w:rPr>
        <w:t xml:space="preserve"> (-91 млрд. </w:t>
      </w:r>
      <w:r w:rsidR="003D340D" w:rsidRPr="003D340D">
        <w:rPr>
          <w:sz w:val="36"/>
          <w:szCs w:val="36"/>
        </w:rPr>
        <w:t>рублей</w:t>
      </w:r>
      <w:r w:rsidRPr="003D340D">
        <w:rPr>
          <w:sz w:val="36"/>
          <w:szCs w:val="36"/>
        </w:rPr>
        <w:t>).</w:t>
      </w:r>
    </w:p>
    <w:p w:rsidR="003D340D" w:rsidRPr="003D340D" w:rsidRDefault="003D340D" w:rsidP="003D340D">
      <w:pPr>
        <w:spacing w:after="240"/>
        <w:ind w:left="419"/>
        <w:jc w:val="both"/>
        <w:rPr>
          <w:sz w:val="36"/>
          <w:szCs w:val="36"/>
        </w:rPr>
      </w:pPr>
    </w:p>
    <w:p w:rsidR="002F5C55" w:rsidRPr="009426A7" w:rsidRDefault="004E3B4F">
      <w:pPr>
        <w:jc w:val="center"/>
        <w:rPr>
          <w:b/>
        </w:rPr>
      </w:pPr>
      <w:r w:rsidRPr="009426A7">
        <w:rPr>
          <w:b/>
          <w:sz w:val="28"/>
        </w:rPr>
        <w:lastRenderedPageBreak/>
        <w:t>Динамика нало</w:t>
      </w:r>
      <w:r w:rsidR="009426A7">
        <w:rPr>
          <w:b/>
          <w:sz w:val="28"/>
        </w:rPr>
        <w:t>говых доходов консолидированных</w:t>
      </w:r>
      <w:r w:rsidR="009426A7">
        <w:rPr>
          <w:b/>
          <w:sz w:val="28"/>
        </w:rPr>
        <w:br/>
      </w:r>
      <w:r w:rsidRPr="009426A7">
        <w:rPr>
          <w:b/>
          <w:sz w:val="28"/>
        </w:rPr>
        <w:t>бюджетов субъектов Российской Федерации в 2017-2019 г</w:t>
      </w:r>
      <w:r>
        <w:rPr>
          <w:b/>
          <w:sz w:val="28"/>
        </w:rPr>
        <w:t>г.</w:t>
      </w:r>
    </w:p>
    <w:p w:rsidR="002F5C55" w:rsidRDefault="004E3B4F">
      <w:r>
        <w:rPr>
          <w:noProof/>
        </w:rPr>
        <w:drawing>
          <wp:inline distT="0" distB="0" distL="0" distR="0">
            <wp:extent cx="6315075" cy="4105275"/>
            <wp:effectExtent l="0" t="0" r="0" b="0"/>
            <wp:docPr id="4" name="Picture 4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Default="002F5C55"/>
    <w:p w:rsidR="002F5C55" w:rsidRPr="009426A7" w:rsidRDefault="004E3B4F">
      <w:pPr>
        <w:jc w:val="center"/>
        <w:rPr>
          <w:b/>
        </w:rPr>
      </w:pPr>
      <w:r w:rsidRPr="009426A7">
        <w:rPr>
          <w:b/>
          <w:sz w:val="28"/>
        </w:rPr>
        <w:t>Налоговые и неналоговые доходы в 2017-2019 гг.</w:t>
      </w:r>
    </w:p>
    <w:p w:rsidR="002F5C55" w:rsidRDefault="004E3B4F">
      <w:r>
        <w:rPr>
          <w:noProof/>
        </w:rPr>
        <w:drawing>
          <wp:inline distT="0" distB="0" distL="0" distR="0">
            <wp:extent cx="6667500" cy="4000500"/>
            <wp:effectExtent l="0" t="0" r="0" b="0"/>
            <wp:docPr id="5" name="Picture 5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Default="002F5C55">
      <w:pPr>
        <w:pageBreakBefore/>
      </w:pPr>
    </w:p>
    <w:p w:rsidR="002F5C55" w:rsidRPr="004E3B4F" w:rsidRDefault="004E3B4F">
      <w:pPr>
        <w:jc w:val="center"/>
        <w:rPr>
          <w:b/>
        </w:rPr>
      </w:pPr>
      <w:r w:rsidRPr="004E3B4F">
        <w:rPr>
          <w:b/>
          <w:sz w:val="28"/>
        </w:rPr>
        <w:t>Налог на прибыль организаций в 2017-2019 гг.</w:t>
      </w:r>
    </w:p>
    <w:p w:rsidR="002F5C55" w:rsidRDefault="004E3B4F">
      <w:r>
        <w:rPr>
          <w:noProof/>
        </w:rPr>
        <w:drawing>
          <wp:inline distT="0" distB="0" distL="0" distR="0">
            <wp:extent cx="6677025" cy="3933825"/>
            <wp:effectExtent l="0" t="0" r="0" b="0"/>
            <wp:docPr id="6" name="Picture 6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Default="002F5C55"/>
    <w:p w:rsidR="002F5C55" w:rsidRPr="004E3B4F" w:rsidRDefault="004E3B4F">
      <w:pPr>
        <w:jc w:val="center"/>
        <w:rPr>
          <w:b/>
        </w:rPr>
      </w:pPr>
      <w:r w:rsidRPr="004E3B4F">
        <w:rPr>
          <w:b/>
          <w:sz w:val="28"/>
        </w:rPr>
        <w:t>Налог на доходы физических лиц в 2017-2019 гг.</w:t>
      </w:r>
    </w:p>
    <w:p w:rsidR="002F5C55" w:rsidRDefault="004E3B4F">
      <w:r>
        <w:rPr>
          <w:noProof/>
        </w:rPr>
        <w:drawing>
          <wp:inline distT="0" distB="0" distL="0" distR="0">
            <wp:extent cx="6657975" cy="4048125"/>
            <wp:effectExtent l="0" t="0" r="0" b="0"/>
            <wp:docPr id="7" name="Picture 7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Default="002F5C55">
      <w:pPr>
        <w:pageBreakBefore/>
      </w:pPr>
    </w:p>
    <w:p w:rsidR="002F5C55" w:rsidRPr="004E3B4F" w:rsidRDefault="004E3B4F">
      <w:pPr>
        <w:jc w:val="center"/>
        <w:rPr>
          <w:b/>
        </w:rPr>
      </w:pPr>
      <w:r w:rsidRPr="004E3B4F">
        <w:rPr>
          <w:b/>
          <w:sz w:val="28"/>
        </w:rPr>
        <w:t>Структура налоговых доходов консолидированных бюджетов</w:t>
      </w:r>
      <w:r w:rsidRPr="004E3B4F">
        <w:rPr>
          <w:b/>
          <w:sz w:val="28"/>
        </w:rPr>
        <w:br/>
        <w:t>субъектов Российской Федерации на 1 февраля 2018 и 2019 гг.</w:t>
      </w:r>
    </w:p>
    <w:p w:rsidR="002F5C55" w:rsidRPr="004E3B4F" w:rsidRDefault="004E3B4F">
      <w:pPr>
        <w:rPr>
          <w:i/>
        </w:rPr>
      </w:pPr>
      <w:r w:rsidRPr="004E3B4F">
        <w:rPr>
          <w:i/>
          <w:sz w:val="28"/>
        </w:rPr>
        <w:t xml:space="preserve">                   на 1 февраля 2018 года                                      на 1 февраля 2019 года</w:t>
      </w:r>
    </w:p>
    <w:p w:rsidR="002F5C55" w:rsidRDefault="004E3B4F">
      <w:r>
        <w:rPr>
          <w:noProof/>
        </w:rPr>
        <w:drawing>
          <wp:inline distT="0" distB="0" distL="0" distR="0">
            <wp:extent cx="3105150" cy="3457575"/>
            <wp:effectExtent l="0" t="0" r="0" b="0"/>
            <wp:docPr id="8" name="Picture 8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05150" cy="3457575"/>
            <wp:effectExtent l="0" t="0" r="0" b="0"/>
            <wp:docPr id="9" name="Picture 9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Default="002F5C55"/>
    <w:p w:rsidR="002F5C55" w:rsidRPr="004E3B4F" w:rsidRDefault="004E3B4F">
      <w:pPr>
        <w:jc w:val="center"/>
        <w:rPr>
          <w:b/>
        </w:rPr>
      </w:pPr>
      <w:r w:rsidRPr="004E3B4F">
        <w:rPr>
          <w:b/>
          <w:sz w:val="28"/>
        </w:rPr>
        <w:t>Динамика расх</w:t>
      </w:r>
      <w:r>
        <w:rPr>
          <w:b/>
          <w:sz w:val="28"/>
        </w:rPr>
        <w:t>одов консолидированных бюджетов</w:t>
      </w:r>
      <w:r>
        <w:rPr>
          <w:b/>
          <w:sz w:val="28"/>
        </w:rPr>
        <w:br/>
      </w:r>
      <w:r w:rsidRPr="004E3B4F">
        <w:rPr>
          <w:b/>
          <w:sz w:val="28"/>
        </w:rPr>
        <w:t>субъектов Российской Федерации в 2017-2019 годах</w:t>
      </w:r>
    </w:p>
    <w:p w:rsidR="002F5C55" w:rsidRDefault="004E3B4F">
      <w:r>
        <w:rPr>
          <w:noProof/>
        </w:rPr>
        <w:drawing>
          <wp:inline distT="0" distB="0" distL="0" distR="0">
            <wp:extent cx="6381750" cy="4257675"/>
            <wp:effectExtent l="0" t="0" r="0" b="0"/>
            <wp:docPr id="10" name="Picture 10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Default="002F5C55">
      <w:pPr>
        <w:pageBreakBefore/>
      </w:pPr>
    </w:p>
    <w:p w:rsidR="002F5C55" w:rsidRPr="004E3B4F" w:rsidRDefault="004E3B4F">
      <w:pPr>
        <w:jc w:val="center"/>
        <w:rPr>
          <w:b/>
        </w:rPr>
      </w:pPr>
      <w:r w:rsidRPr="004E3B4F">
        <w:rPr>
          <w:b/>
          <w:sz w:val="28"/>
        </w:rPr>
        <w:t>Расходы в 2017-2019 гг.</w:t>
      </w:r>
    </w:p>
    <w:p w:rsidR="002F5C55" w:rsidRDefault="004E3B4F">
      <w:r>
        <w:rPr>
          <w:noProof/>
        </w:rPr>
        <w:drawing>
          <wp:inline distT="0" distB="0" distL="0" distR="0">
            <wp:extent cx="6810375" cy="4362450"/>
            <wp:effectExtent l="0" t="0" r="0" b="0"/>
            <wp:docPr id="11" name="Picture 1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10375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C55" w:rsidRPr="004E3B4F" w:rsidRDefault="002F5C55">
      <w:pPr>
        <w:rPr>
          <w:b/>
        </w:rPr>
      </w:pPr>
    </w:p>
    <w:p w:rsidR="002F5C55" w:rsidRPr="004E3B4F" w:rsidRDefault="004E3B4F">
      <w:pPr>
        <w:jc w:val="center"/>
        <w:rPr>
          <w:b/>
        </w:rPr>
      </w:pPr>
      <w:r w:rsidRPr="004E3B4F">
        <w:rPr>
          <w:b/>
          <w:sz w:val="28"/>
        </w:rPr>
        <w:t>Структура расх</w:t>
      </w:r>
      <w:r>
        <w:rPr>
          <w:b/>
          <w:sz w:val="28"/>
        </w:rPr>
        <w:t>одов консолидированных бюджетов</w:t>
      </w:r>
      <w:r>
        <w:rPr>
          <w:b/>
          <w:sz w:val="28"/>
        </w:rPr>
        <w:br/>
      </w:r>
      <w:r w:rsidRPr="004E3B4F">
        <w:rPr>
          <w:b/>
          <w:sz w:val="28"/>
        </w:rPr>
        <w:t>субъектов Российской Федерации на 1 февраля 2018 и 2019 гг.</w:t>
      </w:r>
    </w:p>
    <w:p w:rsidR="002F5C55" w:rsidRPr="004E3B4F" w:rsidRDefault="004E3B4F">
      <w:pPr>
        <w:rPr>
          <w:i/>
        </w:rPr>
      </w:pPr>
      <w:r>
        <w:rPr>
          <w:sz w:val="28"/>
        </w:rPr>
        <w:t xml:space="preserve">                   </w:t>
      </w:r>
      <w:r w:rsidRPr="004E3B4F">
        <w:rPr>
          <w:i/>
          <w:sz w:val="28"/>
        </w:rPr>
        <w:t>на 1 февраля 2018 года                                      на 1 февраля 2019 года</w:t>
      </w:r>
    </w:p>
    <w:p w:rsidR="004E3B4F" w:rsidRDefault="004E3B4F" w:rsidP="004E3B4F">
      <w:r>
        <w:rPr>
          <w:noProof/>
        </w:rPr>
        <w:drawing>
          <wp:inline distT="0" distB="0" distL="0" distR="0">
            <wp:extent cx="3105150" cy="3457575"/>
            <wp:effectExtent l="0" t="0" r="0" b="0"/>
            <wp:docPr id="12" name="Picture 12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05150" cy="3457575"/>
            <wp:effectExtent l="0" t="0" r="0" b="0"/>
            <wp:docPr id="13" name="Picture 13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580" w:rsidRDefault="00BD4580" w:rsidP="003D340D"/>
    <w:sectPr w:rsidR="00BD4580" w:rsidSect="007725E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363" w:right="567" w:bottom="567" w:left="851" w:header="624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2A" w:rsidRDefault="0071082A" w:rsidP="00537A10">
      <w:pPr>
        <w:pStyle w:val="a5"/>
      </w:pPr>
      <w:r>
        <w:separator/>
      </w:r>
    </w:p>
  </w:endnote>
  <w:endnote w:type="continuationSeparator" w:id="0">
    <w:p w:rsidR="0071082A" w:rsidRDefault="0071082A" w:rsidP="00537A10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A3D" w:rsidRDefault="00524A3D" w:rsidP="00537A1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4A3D" w:rsidRDefault="00524A3D" w:rsidP="00A54F8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34" w:type="dxa"/>
      <w:shd w:val="clear" w:color="auto" w:fill="00004C"/>
      <w:tblLook w:val="01E0" w:firstRow="1" w:lastRow="1" w:firstColumn="1" w:lastColumn="1" w:noHBand="0" w:noVBand="0"/>
    </w:tblPr>
    <w:tblGrid>
      <w:gridCol w:w="10632"/>
    </w:tblGrid>
    <w:tr w:rsidR="00524A3D" w:rsidTr="007725EF">
      <w:tc>
        <w:tcPr>
          <w:tcW w:w="10632" w:type="dxa"/>
          <w:shd w:val="clear" w:color="auto" w:fill="00004C"/>
        </w:tcPr>
        <w:p w:rsidR="00524A3D" w:rsidRPr="00DC0341" w:rsidRDefault="00524A3D" w:rsidP="007725EF">
          <w:pPr>
            <w:pStyle w:val="a6"/>
            <w:ind w:left="34"/>
            <w:jc w:val="center"/>
            <w:rPr>
              <w:b/>
              <w:sz w:val="24"/>
              <w:szCs w:val="24"/>
            </w:rPr>
          </w:pPr>
          <w:r w:rsidRPr="00DC0341">
            <w:rPr>
              <w:rStyle w:val="a7"/>
              <w:b/>
              <w:sz w:val="24"/>
              <w:szCs w:val="24"/>
            </w:rPr>
            <w:fldChar w:fldCharType="begin"/>
          </w:r>
          <w:r w:rsidRPr="00DC0341">
            <w:rPr>
              <w:rStyle w:val="a7"/>
              <w:b/>
              <w:sz w:val="24"/>
              <w:szCs w:val="24"/>
            </w:rPr>
            <w:instrText xml:space="preserve"> PAGE </w:instrText>
          </w:r>
          <w:r w:rsidRPr="00DC0341">
            <w:rPr>
              <w:rStyle w:val="a7"/>
              <w:b/>
              <w:sz w:val="24"/>
              <w:szCs w:val="24"/>
            </w:rPr>
            <w:fldChar w:fldCharType="separate"/>
          </w:r>
          <w:r w:rsidR="00526015">
            <w:rPr>
              <w:rStyle w:val="a7"/>
              <w:b/>
              <w:noProof/>
              <w:sz w:val="24"/>
              <w:szCs w:val="24"/>
            </w:rPr>
            <w:t>2</w:t>
          </w:r>
          <w:r w:rsidRPr="00DC0341">
            <w:rPr>
              <w:rStyle w:val="a7"/>
              <w:b/>
              <w:sz w:val="24"/>
              <w:szCs w:val="24"/>
            </w:rPr>
            <w:fldChar w:fldCharType="end"/>
          </w:r>
        </w:p>
      </w:tc>
    </w:tr>
  </w:tbl>
  <w:p w:rsidR="00524A3D" w:rsidRDefault="00524A3D" w:rsidP="00A54F8B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5EF" w:rsidRDefault="007725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2A" w:rsidRDefault="0071082A" w:rsidP="00537A10">
      <w:pPr>
        <w:pStyle w:val="a5"/>
      </w:pPr>
      <w:r>
        <w:separator/>
      </w:r>
    </w:p>
  </w:footnote>
  <w:footnote w:type="continuationSeparator" w:id="0">
    <w:p w:rsidR="0071082A" w:rsidRDefault="0071082A" w:rsidP="00537A10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5EF" w:rsidRDefault="007725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2E"/>
      <w:tblLayout w:type="fixed"/>
      <w:tblLook w:val="01E0" w:firstRow="1" w:lastRow="1" w:firstColumn="1" w:lastColumn="1" w:noHBand="0" w:noVBand="0"/>
    </w:tblPr>
    <w:tblGrid>
      <w:gridCol w:w="4395"/>
      <w:gridCol w:w="4961"/>
      <w:gridCol w:w="1134"/>
    </w:tblGrid>
    <w:tr w:rsidR="00524A3D" w:rsidRPr="00DC0341" w:rsidTr="007725EF">
      <w:tc>
        <w:tcPr>
          <w:tcW w:w="4395" w:type="dxa"/>
          <w:shd w:val="clear" w:color="auto" w:fill="00002E"/>
          <w:tcMar>
            <w:left w:w="0" w:type="dxa"/>
            <w:right w:w="0" w:type="dxa"/>
          </w:tcMar>
        </w:tcPr>
        <w:p w:rsidR="00524A3D" w:rsidRPr="00DC0341" w:rsidRDefault="00322F1A" w:rsidP="00206DDC">
          <w:pPr>
            <w:rPr>
              <w:b/>
              <w:sz w:val="28"/>
              <w:szCs w:val="28"/>
              <w:lang w:val="en-US"/>
            </w:rPr>
          </w:pPr>
          <w:r w:rsidRPr="00DC0341"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3124835" cy="401955"/>
                <wp:effectExtent l="0" t="0" r="0" b="0"/>
                <wp:docPr id="2" name="Рисунок 2" descr="Надпись Минф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адпись Минфин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4835" cy="401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shd w:val="clear" w:color="auto" w:fill="00002E"/>
        </w:tcPr>
        <w:p w:rsidR="00524A3D" w:rsidRPr="00DC0341" w:rsidRDefault="00322F1A" w:rsidP="007725EF">
          <w:pPr>
            <w:ind w:left="33"/>
            <w:jc w:val="center"/>
            <w:rPr>
              <w:rFonts w:ascii="Book Antiqua" w:hAnsi="Book Antiqua"/>
              <w:b/>
              <w:color w:val="FFFFFF"/>
              <w:sz w:val="30"/>
              <w:szCs w:val="30"/>
            </w:rPr>
          </w:pPr>
          <w:r w:rsidRPr="00DC0341">
            <w:rPr>
              <w:b/>
              <w:noProof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0</wp:posOffset>
                </wp:positionV>
                <wp:extent cx="868680" cy="457200"/>
                <wp:effectExtent l="0" t="0" r="7620" b="0"/>
                <wp:wrapNone/>
                <wp:docPr id="1" name="Рисунок 1" descr="untitled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24A3D" w:rsidRPr="00DC0341">
            <w:rPr>
              <w:rFonts w:ascii="Book Antiqua" w:hAnsi="Book Antiqua"/>
              <w:b/>
              <w:color w:val="FFFFFF"/>
              <w:sz w:val="30"/>
              <w:szCs w:val="30"/>
            </w:rPr>
            <w:t xml:space="preserve">Департамент </w:t>
          </w:r>
        </w:p>
        <w:p w:rsidR="00524A3D" w:rsidRPr="00DC0341" w:rsidRDefault="00524A3D" w:rsidP="00DC0341">
          <w:pPr>
            <w:jc w:val="center"/>
            <w:rPr>
              <w:rFonts w:ascii="Book Antiqua" w:hAnsi="Book Antiqua"/>
              <w:b/>
              <w:color w:val="FFFFFF"/>
              <w:sz w:val="28"/>
              <w:szCs w:val="28"/>
            </w:rPr>
          </w:pPr>
          <w:r w:rsidRPr="00DC0341">
            <w:rPr>
              <w:rFonts w:ascii="Book Antiqua" w:hAnsi="Book Antiqua"/>
              <w:b/>
              <w:color w:val="FFFFFF"/>
              <w:sz w:val="30"/>
              <w:szCs w:val="30"/>
            </w:rPr>
            <w:t>межбюджетных отношений</w:t>
          </w:r>
        </w:p>
      </w:tc>
      <w:tc>
        <w:tcPr>
          <w:tcW w:w="1134" w:type="dxa"/>
          <w:shd w:val="clear" w:color="auto" w:fill="00002E"/>
        </w:tcPr>
        <w:p w:rsidR="00524A3D" w:rsidRPr="00DC0341" w:rsidRDefault="00524A3D" w:rsidP="00DC0341">
          <w:pPr>
            <w:jc w:val="right"/>
            <w:rPr>
              <w:b/>
              <w:sz w:val="28"/>
              <w:szCs w:val="28"/>
              <w:lang w:val="en-US"/>
            </w:rPr>
          </w:pPr>
        </w:p>
      </w:tc>
    </w:tr>
  </w:tbl>
  <w:p w:rsidR="00524A3D" w:rsidRDefault="00524A3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5EF" w:rsidRDefault="007725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707E"/>
    <w:multiLevelType w:val="multilevel"/>
    <w:tmpl w:val="ABA2EFEA"/>
    <w:lvl w:ilvl="0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>
    <w:nsid w:val="12E3513D"/>
    <w:multiLevelType w:val="hybridMultilevel"/>
    <w:tmpl w:val="ABA2EFEA"/>
    <w:lvl w:ilvl="0" w:tplc="4DA29238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>
    <w:nsid w:val="4E11308A"/>
    <w:multiLevelType w:val="multilevel"/>
    <w:tmpl w:val="AD54225E"/>
    <w:lvl w:ilvl="0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>
    <w:nsid w:val="55A9074A"/>
    <w:multiLevelType w:val="hybridMultilevel"/>
    <w:tmpl w:val="AD54225E"/>
    <w:lvl w:ilvl="0" w:tplc="04190005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59637F25"/>
    <w:multiLevelType w:val="hybridMultilevel"/>
    <w:tmpl w:val="0AD29BFE"/>
    <w:lvl w:ilvl="0" w:tplc="8C482458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AF"/>
    <w:rsid w:val="0000226C"/>
    <w:rsid w:val="0003054B"/>
    <w:rsid w:val="00030B7B"/>
    <w:rsid w:val="00034590"/>
    <w:rsid w:val="0003583C"/>
    <w:rsid w:val="00041F21"/>
    <w:rsid w:val="00055A92"/>
    <w:rsid w:val="000818E7"/>
    <w:rsid w:val="000C3CF8"/>
    <w:rsid w:val="000C6475"/>
    <w:rsid w:val="000D61F8"/>
    <w:rsid w:val="000E0F8D"/>
    <w:rsid w:val="000F681D"/>
    <w:rsid w:val="001047F7"/>
    <w:rsid w:val="00111FEE"/>
    <w:rsid w:val="0012668F"/>
    <w:rsid w:val="00135D40"/>
    <w:rsid w:val="00154758"/>
    <w:rsid w:val="001635CD"/>
    <w:rsid w:val="001644D7"/>
    <w:rsid w:val="00193F57"/>
    <w:rsid w:val="001A09B2"/>
    <w:rsid w:val="001B0D32"/>
    <w:rsid w:val="001B0D9C"/>
    <w:rsid w:val="001B35E0"/>
    <w:rsid w:val="001C2FF6"/>
    <w:rsid w:val="001D047E"/>
    <w:rsid w:val="001D3CB3"/>
    <w:rsid w:val="001D594E"/>
    <w:rsid w:val="001F5458"/>
    <w:rsid w:val="00203D6E"/>
    <w:rsid w:val="00206DDC"/>
    <w:rsid w:val="0021261B"/>
    <w:rsid w:val="00213F14"/>
    <w:rsid w:val="0021496C"/>
    <w:rsid w:val="00215959"/>
    <w:rsid w:val="00233905"/>
    <w:rsid w:val="00250C2E"/>
    <w:rsid w:val="00254324"/>
    <w:rsid w:val="00254FED"/>
    <w:rsid w:val="00255C4E"/>
    <w:rsid w:val="00263F81"/>
    <w:rsid w:val="00264BC0"/>
    <w:rsid w:val="00282601"/>
    <w:rsid w:val="002908A8"/>
    <w:rsid w:val="002A260E"/>
    <w:rsid w:val="002B0D13"/>
    <w:rsid w:val="002B66A2"/>
    <w:rsid w:val="002C43B2"/>
    <w:rsid w:val="002E117F"/>
    <w:rsid w:val="002F5C55"/>
    <w:rsid w:val="00305423"/>
    <w:rsid w:val="00311809"/>
    <w:rsid w:val="00322F1A"/>
    <w:rsid w:val="003258FA"/>
    <w:rsid w:val="00341608"/>
    <w:rsid w:val="003447C9"/>
    <w:rsid w:val="003619F0"/>
    <w:rsid w:val="00361DC8"/>
    <w:rsid w:val="00380606"/>
    <w:rsid w:val="00385527"/>
    <w:rsid w:val="00396EC4"/>
    <w:rsid w:val="003A2704"/>
    <w:rsid w:val="003B183D"/>
    <w:rsid w:val="003B5E13"/>
    <w:rsid w:val="003B739F"/>
    <w:rsid w:val="003C30D6"/>
    <w:rsid w:val="003C7E14"/>
    <w:rsid w:val="003D340D"/>
    <w:rsid w:val="00401F6E"/>
    <w:rsid w:val="0041667A"/>
    <w:rsid w:val="004461D9"/>
    <w:rsid w:val="004647F0"/>
    <w:rsid w:val="0047541F"/>
    <w:rsid w:val="00491D9D"/>
    <w:rsid w:val="00494A08"/>
    <w:rsid w:val="004D20B0"/>
    <w:rsid w:val="004E0F8F"/>
    <w:rsid w:val="004E1D6D"/>
    <w:rsid w:val="004E3B4F"/>
    <w:rsid w:val="00511BD3"/>
    <w:rsid w:val="005202D1"/>
    <w:rsid w:val="00524A3D"/>
    <w:rsid w:val="00526015"/>
    <w:rsid w:val="005340B2"/>
    <w:rsid w:val="005348AC"/>
    <w:rsid w:val="005374FD"/>
    <w:rsid w:val="00537A10"/>
    <w:rsid w:val="00551574"/>
    <w:rsid w:val="005531FA"/>
    <w:rsid w:val="0055353A"/>
    <w:rsid w:val="00555DD7"/>
    <w:rsid w:val="00560FB2"/>
    <w:rsid w:val="00585A4D"/>
    <w:rsid w:val="00587B0A"/>
    <w:rsid w:val="00594124"/>
    <w:rsid w:val="005A406F"/>
    <w:rsid w:val="005B4A42"/>
    <w:rsid w:val="005C0186"/>
    <w:rsid w:val="005F064E"/>
    <w:rsid w:val="00615835"/>
    <w:rsid w:val="006338BA"/>
    <w:rsid w:val="00635645"/>
    <w:rsid w:val="006418BE"/>
    <w:rsid w:val="006457BF"/>
    <w:rsid w:val="00647480"/>
    <w:rsid w:val="00653D97"/>
    <w:rsid w:val="00656EAB"/>
    <w:rsid w:val="006655DD"/>
    <w:rsid w:val="006958C5"/>
    <w:rsid w:val="006A4437"/>
    <w:rsid w:val="006B2FD5"/>
    <w:rsid w:val="006C0398"/>
    <w:rsid w:val="006D1C04"/>
    <w:rsid w:val="006F055E"/>
    <w:rsid w:val="0071082A"/>
    <w:rsid w:val="00715FB2"/>
    <w:rsid w:val="0072492B"/>
    <w:rsid w:val="007428DF"/>
    <w:rsid w:val="00754BD0"/>
    <w:rsid w:val="007725EF"/>
    <w:rsid w:val="00776C64"/>
    <w:rsid w:val="00794A4A"/>
    <w:rsid w:val="0079669B"/>
    <w:rsid w:val="007C4C43"/>
    <w:rsid w:val="007D27D4"/>
    <w:rsid w:val="007D2FD4"/>
    <w:rsid w:val="007F653E"/>
    <w:rsid w:val="00832082"/>
    <w:rsid w:val="00833669"/>
    <w:rsid w:val="00834360"/>
    <w:rsid w:val="00854D7A"/>
    <w:rsid w:val="00856E5E"/>
    <w:rsid w:val="008660BC"/>
    <w:rsid w:val="008754C9"/>
    <w:rsid w:val="008777E8"/>
    <w:rsid w:val="00883EB5"/>
    <w:rsid w:val="008946BF"/>
    <w:rsid w:val="008B312E"/>
    <w:rsid w:val="008D22AD"/>
    <w:rsid w:val="008D2413"/>
    <w:rsid w:val="00903B2A"/>
    <w:rsid w:val="00905147"/>
    <w:rsid w:val="00914EB8"/>
    <w:rsid w:val="0091526E"/>
    <w:rsid w:val="00920854"/>
    <w:rsid w:val="009317BC"/>
    <w:rsid w:val="00936811"/>
    <w:rsid w:val="009426A7"/>
    <w:rsid w:val="00956ED7"/>
    <w:rsid w:val="00956EE0"/>
    <w:rsid w:val="00973D97"/>
    <w:rsid w:val="00973EF0"/>
    <w:rsid w:val="009A4DA3"/>
    <w:rsid w:val="009B6576"/>
    <w:rsid w:val="00A22E95"/>
    <w:rsid w:val="00A4197C"/>
    <w:rsid w:val="00A432C7"/>
    <w:rsid w:val="00A54F8B"/>
    <w:rsid w:val="00A553AF"/>
    <w:rsid w:val="00A81E55"/>
    <w:rsid w:val="00AA3593"/>
    <w:rsid w:val="00AC0AFA"/>
    <w:rsid w:val="00AC2AEC"/>
    <w:rsid w:val="00AE4A33"/>
    <w:rsid w:val="00AE5027"/>
    <w:rsid w:val="00AE6308"/>
    <w:rsid w:val="00AE644D"/>
    <w:rsid w:val="00AF297D"/>
    <w:rsid w:val="00B13E5E"/>
    <w:rsid w:val="00B21C64"/>
    <w:rsid w:val="00B41EFA"/>
    <w:rsid w:val="00B44175"/>
    <w:rsid w:val="00B46F6F"/>
    <w:rsid w:val="00B544ED"/>
    <w:rsid w:val="00B72544"/>
    <w:rsid w:val="00B95B79"/>
    <w:rsid w:val="00BA27B2"/>
    <w:rsid w:val="00BB4B27"/>
    <w:rsid w:val="00BC6157"/>
    <w:rsid w:val="00BD4580"/>
    <w:rsid w:val="00BD7CCF"/>
    <w:rsid w:val="00BE308F"/>
    <w:rsid w:val="00BF41BB"/>
    <w:rsid w:val="00C06A00"/>
    <w:rsid w:val="00C17DAE"/>
    <w:rsid w:val="00C50887"/>
    <w:rsid w:val="00C632BC"/>
    <w:rsid w:val="00C6581D"/>
    <w:rsid w:val="00C83878"/>
    <w:rsid w:val="00CA1A06"/>
    <w:rsid w:val="00CB62FA"/>
    <w:rsid w:val="00CD1A5E"/>
    <w:rsid w:val="00CD6C85"/>
    <w:rsid w:val="00CE6914"/>
    <w:rsid w:val="00D04EAD"/>
    <w:rsid w:val="00D37B95"/>
    <w:rsid w:val="00D522DA"/>
    <w:rsid w:val="00D821D7"/>
    <w:rsid w:val="00DA04D2"/>
    <w:rsid w:val="00DA411C"/>
    <w:rsid w:val="00DC0341"/>
    <w:rsid w:val="00DC21AF"/>
    <w:rsid w:val="00DD48C3"/>
    <w:rsid w:val="00E102C8"/>
    <w:rsid w:val="00E15ED1"/>
    <w:rsid w:val="00E3240D"/>
    <w:rsid w:val="00E37F48"/>
    <w:rsid w:val="00E55446"/>
    <w:rsid w:val="00E77BD9"/>
    <w:rsid w:val="00EA2883"/>
    <w:rsid w:val="00EC218F"/>
    <w:rsid w:val="00EC4715"/>
    <w:rsid w:val="00ED5BD9"/>
    <w:rsid w:val="00EE02DD"/>
    <w:rsid w:val="00EE172C"/>
    <w:rsid w:val="00EF62FA"/>
    <w:rsid w:val="00F14B3F"/>
    <w:rsid w:val="00F20961"/>
    <w:rsid w:val="00F20D9F"/>
    <w:rsid w:val="00F41A71"/>
    <w:rsid w:val="00F51E81"/>
    <w:rsid w:val="00F564A5"/>
    <w:rsid w:val="00F612D8"/>
    <w:rsid w:val="00F670A0"/>
    <w:rsid w:val="00F76311"/>
    <w:rsid w:val="00F82B2E"/>
    <w:rsid w:val="00FA41CA"/>
    <w:rsid w:val="00FD0AB3"/>
    <w:rsid w:val="00FD282D"/>
    <w:rsid w:val="00FD3605"/>
    <w:rsid w:val="00FE6516"/>
    <w:rsid w:val="00F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522D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54F8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4F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4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522D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54F8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54F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Danilov, Dmitriy A.</dc:creator>
  <cp:lastModifiedBy>КЛОКОВ АЛЕКСАНДР ВИКТОРОВИЧ</cp:lastModifiedBy>
  <cp:revision>3</cp:revision>
  <cp:lastPrinted>2009-05-12T14:10:00Z</cp:lastPrinted>
  <dcterms:created xsi:type="dcterms:W3CDTF">2019-03-29T15:30:00Z</dcterms:created>
  <dcterms:modified xsi:type="dcterms:W3CDTF">2019-03-29T15:57:00Z</dcterms:modified>
</cp:coreProperties>
</file>